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4" w:rsidRPr="005E4AD8" w:rsidRDefault="005E01E4" w:rsidP="005E01E4">
      <w:pPr>
        <w:rPr>
          <w:rFonts w:asciiTheme="minorHAnsi" w:hAnsiTheme="minorHAnsi"/>
          <w:b/>
          <w:bCs/>
          <w:sz w:val="20"/>
          <w:szCs w:val="20"/>
        </w:rPr>
      </w:pPr>
      <w:r w:rsidRPr="005E4AD8">
        <w:rPr>
          <w:rFonts w:asciiTheme="minorHAnsi" w:hAnsiTheme="minorHAnsi"/>
          <w:b/>
          <w:bCs/>
          <w:sz w:val="20"/>
          <w:szCs w:val="20"/>
        </w:rPr>
        <w:t>Alexandria Renew Enterprises</w:t>
      </w: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1500 Eisenhower Avenue</w:t>
      </w: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Alexandria, VA 22314</w:t>
      </w: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Phone: (703) 549-3381</w:t>
      </w: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 xml:space="preserve">Email: </w:t>
      </w:r>
      <w:hyperlink r:id="rId6" w:history="1">
        <w:r w:rsidRPr="005E4AD8">
          <w:rPr>
            <w:rStyle w:val="Hyperlink"/>
            <w:rFonts w:asciiTheme="minorHAnsi" w:hAnsiTheme="minorHAnsi"/>
            <w:color w:val="0070C0"/>
            <w:sz w:val="20"/>
            <w:szCs w:val="20"/>
          </w:rPr>
          <w:t>info@alexrenew.com</w:t>
        </w:r>
      </w:hyperlink>
    </w:p>
    <w:p w:rsidR="005E01E4" w:rsidRPr="005E4AD8" w:rsidRDefault="005E01E4" w:rsidP="005E01E4">
      <w:pPr>
        <w:rPr>
          <w:rFonts w:asciiTheme="minorHAnsi" w:hAnsiTheme="minorHAnsi"/>
          <w:color w:val="0070C0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 xml:space="preserve">Web: </w:t>
      </w:r>
      <w:hyperlink r:id="rId7" w:history="1">
        <w:r w:rsidRPr="005E4AD8">
          <w:rPr>
            <w:rStyle w:val="Hyperlink"/>
            <w:rFonts w:asciiTheme="minorHAnsi" w:hAnsiTheme="minorHAnsi"/>
            <w:color w:val="0070C0"/>
            <w:sz w:val="20"/>
            <w:szCs w:val="20"/>
          </w:rPr>
          <w:t>http://alexrenew.com/</w:t>
        </w:r>
      </w:hyperlink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Alexandria Renew Enterprises (</w:t>
      </w:r>
      <w:proofErr w:type="spellStart"/>
      <w:r w:rsidRPr="005E4AD8">
        <w:rPr>
          <w:rFonts w:asciiTheme="minorHAnsi" w:hAnsiTheme="minorHAnsi"/>
          <w:sz w:val="20"/>
          <w:szCs w:val="20"/>
        </w:rPr>
        <w:t>AlexRenew</w:t>
      </w:r>
      <w:proofErr w:type="spellEnd"/>
      <w:r w:rsidRPr="005E4AD8">
        <w:rPr>
          <w:rFonts w:asciiTheme="minorHAnsi" w:hAnsiTheme="minorHAnsi"/>
          <w:sz w:val="20"/>
          <w:szCs w:val="20"/>
        </w:rPr>
        <w:t xml:space="preserve">), operates one of the most advanced wastewater reclamation facilities in the United States, located on a 35-acre site within walking distance of Old Town Alexandria. </w:t>
      </w:r>
      <w:proofErr w:type="spellStart"/>
      <w:r w:rsidRPr="005E4AD8">
        <w:rPr>
          <w:rFonts w:asciiTheme="minorHAnsi" w:hAnsiTheme="minorHAnsi"/>
          <w:sz w:val="20"/>
          <w:szCs w:val="20"/>
        </w:rPr>
        <w:t>AlexRenew</w:t>
      </w:r>
      <w:proofErr w:type="spellEnd"/>
      <w:r w:rsidRPr="005E4AD8">
        <w:rPr>
          <w:rFonts w:asciiTheme="minorHAnsi" w:hAnsiTheme="minorHAnsi"/>
          <w:sz w:val="20"/>
          <w:szCs w:val="20"/>
        </w:rPr>
        <w:t xml:space="preserve"> serves about 350,000 people in the City of Alexandria and part of Fairfax County, processing an average of 13.5 billion gallons of wastewater every year. </w:t>
      </w:r>
      <w:proofErr w:type="spellStart"/>
      <w:r w:rsidRPr="005E4AD8">
        <w:rPr>
          <w:rFonts w:asciiTheme="minorHAnsi" w:hAnsiTheme="minorHAnsi"/>
          <w:sz w:val="20"/>
          <w:szCs w:val="20"/>
        </w:rPr>
        <w:t>AlexRenew</w:t>
      </w:r>
      <w:proofErr w:type="spellEnd"/>
      <w:r w:rsidRPr="005E4AD8">
        <w:rPr>
          <w:rFonts w:asciiTheme="minorHAnsi" w:hAnsiTheme="minorHAnsi"/>
          <w:sz w:val="20"/>
          <w:szCs w:val="20"/>
        </w:rPr>
        <w:t xml:space="preserve"> is committed to being an environmental steward, good neighbor, and industry leader in our day-to-day work of making dirty water clean again. </w:t>
      </w: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proofErr w:type="spellStart"/>
      <w:r w:rsidRPr="005E4AD8">
        <w:rPr>
          <w:rFonts w:asciiTheme="minorHAnsi" w:hAnsiTheme="minorHAnsi"/>
          <w:sz w:val="20"/>
          <w:szCs w:val="20"/>
        </w:rPr>
        <w:t>AlexRenew</w:t>
      </w:r>
      <w:proofErr w:type="spellEnd"/>
      <w:r w:rsidRPr="005E4AD8">
        <w:rPr>
          <w:rFonts w:asciiTheme="minorHAnsi" w:hAnsiTheme="minorHAnsi"/>
          <w:sz w:val="20"/>
          <w:szCs w:val="20"/>
        </w:rPr>
        <w:t xml:space="preserve"> purchases a wide variety of goods and services including, but not limited to:</w:t>
      </w:r>
    </w:p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Office Supplies, Copier and Business Machines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Catering Services for Events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Marketing Products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Employee Uniforms rental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Training and Safety Equipment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Employee Benefits Consulting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Consultant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Audit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Financial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Temporary Placement Solutions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Information Technology Services and Equipment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Software Licensing and installation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Building and Plant Maintenance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Engineering Consultancy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Maintenance Repair and Operations Equipment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Architectural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 xml:space="preserve">Construction Services 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Laboratory Equipment and related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Employee Health Care Benefits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Travel Management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Insurance Brokerage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A&amp;E Design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Landscape Architect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Snow removal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Security Guard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Custodial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Flow Monitoring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LEED Commissioning Services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 xml:space="preserve">Fire Inspection and Fire Testing Equipment </w:t>
      </w:r>
    </w:p>
    <w:p w:rsidR="005E01E4" w:rsidRPr="005E4AD8" w:rsidRDefault="005E01E4" w:rsidP="005E01E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>Utility Marking Services</w:t>
      </w:r>
    </w:p>
    <w:p w:rsidR="005E01E4" w:rsidRPr="005E4AD8" w:rsidRDefault="005E01E4" w:rsidP="005E01E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5E4AD8">
        <w:rPr>
          <w:rFonts w:asciiTheme="minorHAnsi" w:hAnsiTheme="minorHAnsi"/>
          <w:color w:val="auto"/>
          <w:sz w:val="20"/>
          <w:szCs w:val="20"/>
        </w:rPr>
        <w:t>Energy Services</w:t>
      </w:r>
    </w:p>
    <w:p w:rsidR="005E01E4" w:rsidRPr="005E4AD8" w:rsidRDefault="005E01E4" w:rsidP="005E01E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5E4AD8">
        <w:rPr>
          <w:rFonts w:asciiTheme="minorHAnsi" w:hAnsiTheme="minorHAnsi"/>
          <w:color w:val="auto"/>
          <w:sz w:val="20"/>
          <w:szCs w:val="20"/>
        </w:rPr>
        <w:t>Environmental Services</w:t>
      </w:r>
    </w:p>
    <w:p w:rsidR="005E01E4" w:rsidRPr="005E4AD8" w:rsidRDefault="005E01E4" w:rsidP="005E01E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5E4AD8">
        <w:rPr>
          <w:rFonts w:asciiTheme="minorHAnsi" w:hAnsiTheme="minorHAnsi"/>
          <w:color w:val="auto"/>
          <w:sz w:val="20"/>
          <w:szCs w:val="20"/>
        </w:rPr>
        <w:t>Structural Engineering Services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</w:tblGrid>
      <w:tr w:rsidR="005E4AD8" w:rsidRPr="005E4AD8" w:rsidTr="005E01E4">
        <w:trPr>
          <w:trHeight w:val="99"/>
        </w:trPr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E4" w:rsidRPr="005E4AD8" w:rsidRDefault="005E01E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5E01E4" w:rsidRPr="005E4AD8" w:rsidRDefault="005E01E4" w:rsidP="005E01E4">
      <w:pPr>
        <w:rPr>
          <w:rFonts w:asciiTheme="minorHAnsi" w:hAnsiTheme="minorHAnsi"/>
          <w:sz w:val="20"/>
          <w:szCs w:val="20"/>
        </w:rPr>
      </w:pPr>
      <w:r w:rsidRPr="005E4AD8">
        <w:rPr>
          <w:rFonts w:asciiTheme="minorHAnsi" w:hAnsiTheme="minorHAnsi"/>
          <w:sz w:val="20"/>
          <w:szCs w:val="20"/>
        </w:rPr>
        <w:t xml:space="preserve">For additional information on conducting business with </w:t>
      </w:r>
      <w:proofErr w:type="spellStart"/>
      <w:r w:rsidRPr="005E4AD8">
        <w:rPr>
          <w:rFonts w:asciiTheme="minorHAnsi" w:hAnsiTheme="minorHAnsi"/>
          <w:sz w:val="20"/>
          <w:szCs w:val="20"/>
        </w:rPr>
        <w:t>AlexRenew</w:t>
      </w:r>
      <w:proofErr w:type="spellEnd"/>
      <w:r w:rsidRPr="005E4AD8">
        <w:rPr>
          <w:rFonts w:asciiTheme="minorHAnsi" w:hAnsiTheme="minorHAnsi"/>
          <w:sz w:val="20"/>
          <w:szCs w:val="20"/>
        </w:rPr>
        <w:t xml:space="preserve">, please </w:t>
      </w:r>
      <w:hyperlink r:id="rId8" w:history="1">
        <w:r w:rsidR="005E4AD8" w:rsidRPr="005E4AD8">
          <w:rPr>
            <w:rStyle w:val="Hyperlink"/>
            <w:rFonts w:asciiTheme="minorHAnsi" w:hAnsiTheme="minorHAnsi"/>
            <w:sz w:val="20"/>
            <w:szCs w:val="20"/>
          </w:rPr>
          <w:t>visit our website</w:t>
        </w:r>
      </w:hyperlink>
      <w:r w:rsidR="005E4AD8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523E40" w:rsidRPr="005E4AD8" w:rsidRDefault="00523E40">
      <w:pPr>
        <w:rPr>
          <w:rFonts w:asciiTheme="minorHAnsi" w:hAnsiTheme="minorHAnsi"/>
          <w:sz w:val="20"/>
          <w:szCs w:val="20"/>
        </w:rPr>
      </w:pPr>
    </w:p>
    <w:sectPr w:rsidR="00523E40" w:rsidRPr="005E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31E4"/>
    <w:multiLevelType w:val="hybridMultilevel"/>
    <w:tmpl w:val="765066BA"/>
    <w:lvl w:ilvl="0" w:tplc="0A8E475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4"/>
    <w:rsid w:val="00523E40"/>
    <w:rsid w:val="005E01E4"/>
    <w:rsid w:val="005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1E4"/>
    <w:pPr>
      <w:ind w:left="720"/>
    </w:pPr>
  </w:style>
  <w:style w:type="paragraph" w:customStyle="1" w:styleId="Default">
    <w:name w:val="Default"/>
    <w:basedOn w:val="Normal"/>
    <w:uiPriority w:val="99"/>
    <w:rsid w:val="005E01E4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1E4"/>
    <w:pPr>
      <w:ind w:left="720"/>
    </w:pPr>
  </w:style>
  <w:style w:type="paragraph" w:customStyle="1" w:styleId="Default">
    <w:name w:val="Default"/>
    <w:basedOn w:val="Normal"/>
    <w:uiPriority w:val="99"/>
    <w:rsid w:val="005E01E4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renew.com/about/news-information/doing-business-with-a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exren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exrenew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Flanagan</dc:creator>
  <cp:keywords/>
  <dc:description/>
  <cp:lastModifiedBy>Amy Shields</cp:lastModifiedBy>
  <cp:revision>2</cp:revision>
  <dcterms:created xsi:type="dcterms:W3CDTF">2014-05-27T17:19:00Z</dcterms:created>
  <dcterms:modified xsi:type="dcterms:W3CDTF">2014-05-27T18:33:00Z</dcterms:modified>
</cp:coreProperties>
</file>